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Override ContentType="application/vnd.openxmlformats-officedocument.wordprocessingml.header+xml" PartName="/word/header5.xml"/>
  <Override ContentType="application/vnd.openxmlformats-officedocument.wordprocessingml.footer+xml" PartName="/word/footer5.xml"/>
  <Override ContentType="application/vnd.openxmlformats-officedocument.wordprocessingml.header+xml" PartName="/word/header6.xml"/>
  <Override ContentType="application/vnd.openxmlformats-officedocument.wordprocessingml.footer+xml" PartName="/word/footer6.xml"/>
  <Override ContentType="application/vnd.openxmlformats-officedocument.wordprocessingml.header+xml" PartName="/word/header7.xml"/>
  <Override ContentType="application/vnd.openxmlformats-officedocument.wordprocessingml.footer+xml" PartName="/word/footer7.xml"/>
  <Override ContentType="application/vnd.openxmlformats-officedocument.wordprocessingml.header+xml" PartName="/word/header8.xml"/>
  <Override ContentType="application/vnd.openxmlformats-officedocument.wordprocessingml.footer+xml" PartName="/word/footer8.xml"/>
  <Override ContentType="application/vnd.openxmlformats-officedocument.wordprocessingml.header+xml" PartName="/word/header9.xml"/>
  <Override ContentType="application/vnd.openxmlformats-officedocument.wordprocessingml.footer+xml" PartName="/word/footer9.xml"/>
  <Override ContentType="application/vnd.openxmlformats-officedocument.wordprocessingml.header+xml" PartName="/word/header10.xml"/>
  <Override ContentType="application/vnd.openxmlformats-officedocument.wordprocessingml.footer+xml" PartName="/word/footer10.xml"/>
  <Override ContentType="application/vnd.openxmlformats-officedocument.wordprocessingml.header+xml" PartName="/word/header11.xml"/>
  <Override ContentType="application/vnd.openxmlformats-officedocument.wordprocessingml.footer+xml" PartName="/word/footer1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1800"/>
      </w:pPr>
      <w:r>
        <w:t xml:space="preserve"/>
      </w:r>
    </w:p>
    <w:p>
      <w:pPr>
        <w:spacing w:before="0" w:after="560"/>
        <w:jc w:val="center"/>
      </w:pPr>
      <w:r>
        <w:rPr>
          <w:rFonts w:ascii="Roboto" w:cs="Roboto" w:eastAsia="Roboto" w:hAnsi="Roboto"/>
          <w:b w:val="false"/>
          <w:bCs w:val="false"/>
          <w:i w:val="false"/>
          <w:iCs w:val="false"/>
          <w:color w:val="4a6cf7"/>
          <w:sz w:val="24"/>
          <w:szCs w:val="24"/>
        </w:rPr>
        <w:t xml:space="preserve">PRODUCT  GUIDE</w:t>
      </w:r>
    </w:p>
    <w:p>
      <w:pPr>
        <w:pStyle w:val="Heading1"/>
        <w:spacing w:before="0" w:after="320"/>
        <w:jc w:val="center"/>
      </w:pPr>
      <w:r>
        <w:rPr>
          <w:rFonts w:ascii="Times New Roman" w:cs="Times New Roman" w:eastAsia="Times New Roman" w:hAnsi="Times New Roman"/>
          <w:b/>
          <w:bCs/>
          <w:i w:val="false"/>
          <w:iCs w:val="false"/>
          <w:color w:val="111111"/>
          <w:sz w:val="60"/>
          <w:szCs w:val="60"/>
        </w:rPr>
        <w:t xml:space="preserve">Gmail automatic reply (out of office)</w:t>
      </w:r>
    </w:p>
    <w:tbl>
      <w:tblPr>
        <w:tblW w:type="dxa" w:w="9905"/>
        <w:tblBorders>
          <w:top w:val="nil" w:sz="0"/>
          <w:left w:val="nil" w:sz="0"/>
          <w:bottom w:val="nil" w:sz="0"/>
          <w:right w:val="nil" w:sz="0"/>
          <w:insideH w:val="nil" w:sz="0"/>
          <w:insideV w:val="nil" w:sz="0"/>
        </w:tblBorders>
        <w:tblLayout w:type="fixed"/>
      </w:tblPr>
      <w:tblGrid>
        <w:gridCol w:w="9905"/>
      </w:tblGrid>
      <w:tr>
        <w:tc>
          <w:tcPr>
            <w:tcW w:type="dxa" w:w="9905"/>
            <w:tcBorders>
              <w:top w:val="nil" w:sz="0"/>
              <w:left w:val="nil" w:sz="0"/>
              <w:bottom w:val="single" w:color="1b243b" w:sz="12"/>
              <w:right w:val="nil" w:sz="0"/>
            </w:tcBorders>
            <w:tcMar>
              <w:top w:type="dxa" w:w="160"/>
              <w:left w:type="dxa" w:w="0"/>
              <w:bottom w:type="dxa" w:w="480"/>
              <w:right w:type="dxa" w:w="0"/>
            </w:tcMar>
          </w:tcPr>
          <w:p>
            <w:r>
              <w:t xml:space="preserve"/>
            </w:r>
          </w:p>
        </w:tc>
      </w:tr>
    </w:tbl>
    <w:p>
      <w:pPr>
        <w:jc w:val="left"/>
      </w:pPr>
      <w:r>
        <w:t xml:space="preserve">How to set the Out of Office status in Gmail</w:t>
      </w:r>
    </w:p>
    <w:p>
      <w:pPr>
        <w:spacing w:before="0" w:after="2400"/>
      </w:pPr>
      <w:r>
        <w:t xml:space="preserve"/>
      </w:r>
    </w:p>
    <w:tbl>
      <w:tblPr>
        <w:tblW w:type="pct" w:w="100%"/>
        <w:tblBorders>
          <w:top w:val="nil" w:sz="0"/>
          <w:left w:val="nil" w:sz="0"/>
          <w:bottom w:val="nil" w:sz="0"/>
          <w:right w:val="nil" w:sz="0"/>
          <w:insideH w:val="single" w:color="auto" w:sz="4"/>
          <w:insideV w:val="single" w:color="auto" w:sz="4"/>
        </w:tblBorders>
        <w:tblLayout w:type="fixed"/>
      </w:tblPr>
      <w:tblGrid>
        <w:gridCol w:w="4953"/>
        <w:gridCol w:w="4953"/>
      </w:tblGrid>
      <w:tr>
        <w:tc>
          <w:tcPr>
            <w:tcBorders>
              <w:top w:val="nil" w:sz="0"/>
              <w:left w:val="nil" w:sz="0"/>
              <w:bottom w:val="nil" w:sz="0"/>
              <w:right w:val="nil" w:sz="0"/>
            </w:tcBorders>
            <w:tcMar>
              <w:top w:type="dxa" w:w="80"/>
              <w:left w:type="dxa" w:w="0"/>
              <w:bottom w:type="dxa" w:w="80"/>
              <w:right w:type="dxa" w:w="320"/>
            </w:tcMar>
            <w:vAlign w:val="top"/>
          </w:tcPr>
          <w:p>
            <w:pPr>
              <w:spacing w:before="0" w:after="40"/>
              <w:jc w:val="left"/>
            </w:pPr>
            <w:r>
              <w:rPr>
                <w:rFonts w:ascii="Times New Roman" w:cs="Times New Roman" w:eastAsia="Times New Roman" w:hAnsi="Times New Roman"/>
                <w:b w:val="false"/>
                <w:bCs w:val="false"/>
                <w:i w:val="false"/>
                <w:iCs w:val="false"/>
                <w:color w:val="9098a8"/>
                <w:sz w:val="20"/>
                <w:szCs w:val="20"/>
              </w:rPr>
              <w:t xml:space="preserve">PREPARED BY</w:t>
            </w:r>
          </w:p>
          <w:p>
            <w:pPr>
              <w:spacing w:before="0" w:after="0"/>
              <w:jc w:val="left"/>
            </w:pPr>
            <w:r>
              <w:rPr>
                <w:rFonts w:ascii="Times New Roman" w:cs="Times New Roman" w:eastAsia="Times New Roman" w:hAnsi="Times New Roman"/>
                <w:b/>
                <w:bCs/>
                <w:i w:val="false"/>
                <w:iCs w:val="false"/>
                <w:color w:val="1b243b"/>
                <w:sz w:val="24"/>
                <w:szCs w:val="24"/>
              </w:rPr>
              <w:t xml:space="preserve">People Ops</w:t>
            </w:r>
          </w:p>
        </w:tc>
        <w:tc>
          <w:tcPr>
            <w:tcBorders>
              <w:top w:val="nil" w:sz="0"/>
              <w:left w:val="nil" w:sz="0"/>
              <w:bottom w:val="nil" w:sz="0"/>
              <w:right w:val="nil" w:sz="0"/>
            </w:tcBorders>
            <w:tcMar>
              <w:top w:type="dxa" w:w="80"/>
              <w:left w:type="dxa" w:w="320"/>
              <w:bottom w:type="dxa" w:w="80"/>
              <w:right w:type="dxa" w:w="0"/>
            </w:tcMar>
            <w:vAlign w:val="top"/>
          </w:tcPr>
          <w:p>
            <w:pPr>
              <w:spacing w:before="0" w:after="40"/>
              <w:jc w:val="left"/>
            </w:pPr>
            <w:r>
              <w:rPr>
                <w:rFonts w:ascii="Times New Roman" w:cs="Times New Roman" w:eastAsia="Times New Roman" w:hAnsi="Times New Roman"/>
                <w:b w:val="false"/>
                <w:bCs w:val="false"/>
                <w:i w:val="false"/>
                <w:iCs w:val="false"/>
                <w:color w:val="9098a8"/>
                <w:sz w:val="20"/>
                <w:szCs w:val="20"/>
              </w:rPr>
              <w:t xml:space="preserve">DATE</w:t>
            </w:r>
          </w:p>
          <w:p>
            <w:pPr>
              <w:spacing w:before="0" w:after="0"/>
              <w:jc w:val="left"/>
            </w:pPr>
            <w:r>
              <w:rPr>
                <w:rFonts w:ascii="Times New Roman" w:cs="Times New Roman" w:eastAsia="Times New Roman" w:hAnsi="Times New Roman"/>
                <w:b/>
                <w:bCs/>
                <w:i w:val="false"/>
                <w:iCs w:val="false"/>
                <w:color w:val="1b243b"/>
                <w:sz w:val="24"/>
                <w:szCs w:val="24"/>
              </w:rPr>
              <w:t xml:space="preserve">28/07/26</w:t>
            </w:r>
          </w:p>
        </w:tc>
      </w:tr>
      <w:tr>
        <w:tc>
          <w:tcPr>
            <w:tcBorders>
              <w:top w:val="nil" w:sz="0"/>
              <w:left w:val="nil" w:sz="0"/>
              <w:bottom w:val="nil" w:sz="0"/>
              <w:right w:val="nil" w:sz="0"/>
            </w:tcBorders>
            <w:tcMar>
              <w:top w:type="dxa" w:w="80"/>
              <w:left w:type="dxa" w:w="0"/>
              <w:bottom w:type="dxa" w:w="80"/>
              <w:right w:type="dxa" w:w="320"/>
            </w:tcMar>
            <w:vAlign w:val="top"/>
          </w:tcPr>
          <w:p>
            <w:pPr>
              <w:spacing w:before="0" w:after="40"/>
              <w:jc w:val="left"/>
            </w:pPr>
            <w:r>
              <w:rPr>
                <w:rFonts w:ascii="Times New Roman" w:cs="Times New Roman" w:eastAsia="Times New Roman" w:hAnsi="Times New Roman"/>
                <w:b w:val="false"/>
                <w:bCs w:val="false"/>
                <w:i w:val="false"/>
                <w:iCs w:val="false"/>
                <w:color w:val="9098a8"/>
                <w:sz w:val="20"/>
                <w:szCs w:val="20"/>
              </w:rPr>
              <w:t xml:space="preserve">VERSION</w:t>
            </w:r>
          </w:p>
          <w:p>
            <w:pPr>
              <w:spacing w:before="0" w:after="0"/>
              <w:jc w:val="left"/>
            </w:pPr>
            <w:r>
              <w:rPr>
                <w:rFonts w:ascii="Times New Roman" w:cs="Times New Roman" w:eastAsia="Times New Roman" w:hAnsi="Times New Roman"/>
                <w:b/>
                <w:bCs/>
                <w:i w:val="false"/>
                <w:iCs w:val="false"/>
                <w:color w:val="1b243b"/>
                <w:sz w:val="24"/>
                <w:szCs w:val="24"/>
              </w:rPr>
              <w:t xml:space="preserve">1.0</w:t>
            </w:r>
          </w:p>
        </w:tc>
        <w:tc>
          <w:tcPr>
            <w:tcBorders>
              <w:top w:val="nil" w:sz="0"/>
              <w:left w:val="nil" w:sz="0"/>
              <w:bottom w:val="nil" w:sz="0"/>
              <w:right w:val="nil" w:sz="0"/>
            </w:tcBorders>
            <w:tcMar>
              <w:top w:type="dxa" w:w="80"/>
              <w:left w:type="dxa" w:w="320"/>
              <w:bottom w:type="dxa" w:w="80"/>
              <w:right w:type="dxa" w:w="0"/>
            </w:tcMar>
            <w:vAlign w:val="top"/>
          </w:tcPr>
          <w:p>
            <w:pPr>
              <w:spacing w:before="0" w:after="40"/>
              <w:jc w:val="left"/>
            </w:pPr>
            <w:r>
              <w:rPr>
                <w:rFonts w:ascii="Times New Roman" w:cs="Times New Roman" w:eastAsia="Times New Roman" w:hAnsi="Times New Roman"/>
                <w:b w:val="false"/>
                <w:bCs w:val="false"/>
                <w:i w:val="false"/>
                <w:iCs w:val="false"/>
                <w:color w:val="9098a8"/>
                <w:sz w:val="20"/>
                <w:szCs w:val="20"/>
              </w:rPr>
              <w:t xml:space="preserve">GUIDE</w:t>
            </w:r>
          </w:p>
          <w:p>
            <w:pPr>
              <w:spacing w:before="0" w:after="0"/>
              <w:jc w:val="left"/>
            </w:pPr>
            <w:r>
              <w:rPr>
                <w:rFonts w:ascii="Times New Roman" w:cs="Times New Roman" w:eastAsia="Times New Roman" w:hAnsi="Times New Roman"/>
                <w:b/>
                <w:bCs/>
                <w:i w:val="false"/>
                <w:iCs w:val="false"/>
                <w:color w:val="1b243b"/>
                <w:sz w:val="24"/>
                <w:szCs w:val="24"/>
              </w:rPr>
              <w:t xml:space="preserve">Gmail automatic reply (out of office)</w:t>
            </w:r>
          </w:p>
        </w:tc>
      </w:tr>
    </w:tbl>
    <w:p>
      <w:pPr>
        <w:spacing w:before="480" w:after="0"/>
        <w:jc w:val="center"/>
      </w:pPr>
      <w:r>
        <w:rPr>
          <w:rFonts w:ascii="Times New Roman" w:cs="Times New Roman" w:eastAsia="Times New Roman" w:hAnsi="Times New Roman"/>
          <w:b w:val="false"/>
          <w:bCs w:val="false"/>
          <w:i w:val="false"/>
          <w:iCs w:val="false"/>
          <w:color w:val="9098a8"/>
          <w:sz w:val="20"/>
          <w:szCs w:val="20"/>
        </w:rPr>
        <w:t xml:space="preserve">Confidential · folge.io</w:t>
      </w:r>
    </w:p>
    <w:p>
      <w:pPr>
        <w:sectPr>
          <w:pgSz w:w="11905" w:h="16837" w:orient="portrait"/>
          <w:pgMar w:top="1440" w:right="1440" w:bottom="1440" w:left="1440" w:header="708" w:footer="708" w:gutter="0"/>
          <w:pgNumType/>
          <w:docGrid w:linePitch="360"/>
        </w:sectPr>
      </w:pPr>
    </w:p>
    <w:p>
      <w:pPr>
        <w:pStyle w:val="GuideTOCTitle"/>
      </w:pPr>
      <w:r>
        <w:t xml:space="preserve">Table of contents</w:t>
      </w:r>
    </w:p>
    <w:p>
      <w:pPr>
        <w:pStyle w:val="GuideTOCItem"/>
      </w:pPr>
      <w:hyperlink w:history="1" w:anchor="step-0">
        <w:r>
          <w:t xml:space="preserve">1. Click here</w:t>
        </w:r>
      </w:hyperlink>
    </w:p>
    <w:p>
      <w:pPr>
        <w:pStyle w:val="GuideTOCItem"/>
      </w:pPr>
      <w:hyperlink w:history="1" w:anchor="step-1">
        <w:r>
          <w:t xml:space="preserve">2. Open the Settings menu</w:t>
        </w:r>
      </w:hyperlink>
    </w:p>
    <w:p>
      <w:pPr>
        <w:pStyle w:val="GuideTOCItem"/>
      </w:pPr>
      <w:hyperlink w:history="1" w:anchor="step-2">
        <w:r>
          <w:t xml:space="preserve">3. Open the full settings page</w:t>
        </w:r>
      </w:hyperlink>
    </w:p>
    <w:p>
      <w:pPr>
        <w:pStyle w:val="GuideTOCItem"/>
      </w:pPr>
      <w:hyperlink w:history="1" w:anchor="step-3">
        <w:r>
          <w:t xml:space="preserve">4. Turn the Vacation responder on</w:t>
        </w:r>
      </w:hyperlink>
    </w:p>
    <w:p>
      <w:pPr>
        <w:pStyle w:val="GuideTOCItem"/>
      </w:pPr>
      <w:hyperlink w:history="1" w:anchor="step-4">
        <w:r>
          <w:t xml:space="preserve">5. Set your last day (optional, but recommended)</w:t>
        </w:r>
      </w:hyperlink>
    </w:p>
    <w:p>
      <w:pPr>
        <w:pStyle w:val="GuideTOCItem"/>
      </w:pPr>
      <w:hyperlink w:history="1" w:anchor="step-5">
        <w:r>
          <w:t xml:space="preserve">6. Write a clear subject line</w:t>
        </w:r>
      </w:hyperlink>
    </w:p>
    <w:p>
      <w:pPr>
        <w:pStyle w:val="GuideTOCItem"/>
      </w:pPr>
      <w:hyperlink w:history="1" w:anchor="step-6">
        <w:r>
          <w:t xml:space="preserve">7. Write your auto-reply message</w:t>
        </w:r>
      </w:hyperlink>
    </w:p>
    <w:p>
      <w:pPr>
        <w:pStyle w:val="GuideTOCItem"/>
      </w:pPr>
      <w:hyperlink w:history="1" w:anchor="step-7">
        <w:r>
          <w:t xml:space="preserve">8. Optionally limit who receives the reply</w:t>
        </w:r>
      </w:hyperlink>
    </w:p>
    <w:p>
      <w:pPr>
        <w:pStyle w:val="GuideTOCItem"/>
      </w:pPr>
      <w:hyperlink w:history="1" w:anchor="step-8">
        <w:r>
          <w:t xml:space="preserve">9. Save your changes</w:t>
        </w:r>
      </w:hyperlink>
    </w:p>
    <w:p>
      <w:pPr>
        <w:pStyle w:val="GuideTOCItem"/>
      </w:pPr>
      <w:hyperlink w:history="1" w:anchor="step-9">
        <w:r>
          <w:t xml:space="preserve">10. You're all set </w:t>
        </w:r>
      </w:hyperlink>
    </w:p>
    <w:p>
      <w:pPr>
        <w:sectPr>
          <w:headerReference w:type="default" r:id="rId6"/>
          <w:footerReference w:type="default" r:id="rId7"/>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1. Click here</w:t>
            </w:r>
          </w:p>
        </w:tc>
      </w:tr>
    </w:tbl>
    <w:p>
      <w:pPr>
        <w:pStyle w:val="StepBookmark"/>
      </w:pPr>
      <w:bookmarkStart w:name="step-0" w:id="1"/>
      <w:bookmarkEnd w:id="1"/>
    </w:p>
    <w:p>
      <w:pPr>
        <w:pStyle w:val="StepImage"/>
        <w:spacing w:before="120" w:after="160"/>
        <w:jc w:val="center"/>
      </w:pPr>
      <w:r>
        <w:drawing>
          <wp:inline distT="0" distB="0" distL="0" distR="0">
            <wp:extent cx="6191250" cy="3381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6191250" cy="3381450"/>
                    </a:xfrm>
                    <a:prstGeom prst="rect">
                      <a:avLst/>
                    </a:prstGeom>
                  </pic:spPr>
                </pic:pic>
              </a:graphicData>
            </a:graphic>
          </wp:inline>
        </w:drawing>
      </w:r>
    </w:p>
    <w:p>
      <w:pPr>
        <w:sectPr>
          <w:headerReference w:type="default" r:id="rId8"/>
          <w:footerReference w:type="default" r:id="rId9"/>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2. Open the Settings menu</w:t>
            </w:r>
          </w:p>
        </w:tc>
      </w:tr>
    </w:tbl>
    <w:p>
      <w:r>
        <w:t xml:space="preserve"/>
      </w:r>
    </w:p>
    <w:tbl>
      <w:tblPr>
        <w:tblW w:type="pct" w:w="100%"/>
        <w:tblBorders>
          <w:top w:val="nil" w:sz="0"/>
          <w:left w:val="nil" w:sz="0"/>
          <w:bottom w:val="nil" w:sz="0"/>
          <w:right w:val="nil" w:sz="0"/>
          <w:insideH w:val="single" w:color="auto" w:sz="4"/>
          <w:insideV w:val="single" w:color="auto" w:sz="4"/>
        </w:tblBorders>
        <w:tblLayout w:type="fixed"/>
      </w:tblPr>
      <w:tblGrid>
        <w:gridCol w:w="9885"/>
      </w:tblGrid>
      <w:tr>
        <w:tc>
          <w:tcPr>
            <w:tcW w:type="pct" w:w="100%"/>
            <w:tcBorders>
              <w:top w:val="nil" w:sz="0"/>
              <w:left w:val="nil" w:sz="0"/>
              <w:bottom w:val="nil" w:sz="0"/>
              <w:right w:val="nil" w:sz="0"/>
            </w:tcBorders>
            <w:shd w:fill="eff6ff"/>
            <w:vAlign w:val="center"/>
          </w:tcPr>
          <w:p>
            <w:pPr>
              <w:pStyle w:val="TextBlockCell01info"/>
            </w:pPr>
            <w:r>
              <w:t xml:space="preserve">ℹ️ Difference in the mobile app experience</w:t>
            </w:r>
          </w:p>
        </w:tc>
      </w:tr>
      <w:tr>
        <w:tc>
          <w:tcPr>
            <w:tcW w:type="pct" w:w="100%"/>
            <w:tcBorders>
              <w:top w:val="nil" w:sz="0"/>
              <w:left w:val="nil" w:sz="0"/>
              <w:bottom w:val="nil" w:sz="0"/>
              <w:right w:val="nil" w:sz="0"/>
            </w:tcBorders>
            <w:shd w:fill="eff6ff"/>
            <w:vAlign w:val="center"/>
          </w:tcPr>
          <w:p>
            <w:pPr>
              <w:pStyle w:val="TextBlockCell11info"/>
              <w:jc w:val="left"/>
            </w:pPr>
            <w:r>
              <w:t xml:space="preserve">To set up an out-of-office auto-reply in the Gmail mobile app, </w:t>
            </w:r>
            <w:r>
              <w:t xml:space="preserve">open the app, tap the Menu icon</w:t>
            </w:r>
            <w:r>
              <w:t xml:space="preserve"> (three lines) in the top left corner, and go to Settings</w:t>
            </w:r>
            <w:r>
              <w:t xml:space="preserve">. Tap your email address</w:t>
            </w:r>
            <w:r>
              <w:t xml:space="preserve">, select Vacation responder</w:t>
            </w:r>
            <w:r>
              <w:t xml:space="preserve">, toggle it On</w:t>
            </w:r>
            <w:r>
              <w:t xml:space="preserve">, and fill out your dates, subject, and message.</w:t>
            </w:r>
          </w:p>
        </w:tc>
      </w:tr>
    </w:tbl>
    <w:p>
      <w:r>
        <w:t xml:space="preserve"/>
      </w:r>
    </w:p>
    <w:p>
      <w:pPr>
        <w:pStyle w:val="StepDescription"/>
        <w:jc w:val="left"/>
      </w:pPr>
      <w:r>
        <w:t xml:space="preserve">Click the </w:t>
      </w:r>
      <w:r>
        <w:rPr>
          <w:b/>
          <w:bCs/>
        </w:rPr>
        <w:t xml:space="preserve">gear icon</w:t>
      </w:r>
      <w:r>
        <w:t xml:space="preserve"> (⚙) in the top-right corner of Gmail to open the quick settings panel.</w:t>
      </w:r>
    </w:p>
    <w:p>
      <w:pPr>
        <w:pStyle w:val="StepDescription"/>
        <w:jc w:val="left"/>
      </w:pPr>
      <w:r>
        <w:t xml:space="preserve"/>
      </w:r>
    </w:p>
    <w:p>
      <w:pPr>
        <w:pStyle w:val="StepBookmark"/>
      </w:pPr>
      <w:bookmarkStart w:name="step-1" w:id="1"/>
      <w:bookmarkEnd w:id="1"/>
    </w:p>
    <w:p>
      <w:pPr>
        <w:pStyle w:val="StepImage"/>
        <w:spacing w:before="120" w:after="160"/>
        <w:jc w:val="center"/>
      </w:pPr>
      <w:r>
        <w:drawing>
          <wp:inline distT="0" distB="0" distL="0" distR="0">
            <wp:extent cx="6191250" cy="3381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6191250" cy="3381450"/>
                    </a:xfrm>
                    <a:prstGeom prst="rect">
                      <a:avLst/>
                    </a:prstGeom>
                  </pic:spPr>
                </pic:pic>
              </a:graphicData>
            </a:graphic>
          </wp:inline>
        </w:drawing>
      </w:r>
    </w:p>
    <w:p>
      <w:pPr>
        <w:sectPr>
          <w:headerReference w:type="default" r:id="rId10"/>
          <w:footerReference w:type="default" r:id="rId11"/>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3. Open the full settings page</w:t>
            </w:r>
          </w:p>
        </w:tc>
      </w:tr>
    </w:tbl>
    <w:p>
      <w:pPr>
        <w:pStyle w:val="StepDescription"/>
        <w:jc w:val="left"/>
      </w:pPr>
      <w:r>
        <w:t xml:space="preserve">At the top of the quick settings panel, click </w:t>
      </w:r>
      <w:r>
        <w:rPr>
          <w:color w:val="236FA1"/>
        </w:rPr>
        <w:t xml:space="preserve">See all settings</w:t>
      </w:r>
      <w:r>
        <w:t xml:space="preserve">. This opens Gmail's complete settings page, where the vacation responder lives.</w:t>
      </w:r>
    </w:p>
    <w:p>
      <w:pPr>
        <w:pStyle w:val="StepDescription"/>
        <w:jc w:val="left"/>
      </w:pPr>
      <w:r>
        <w:t xml:space="preserve"/>
      </w:r>
    </w:p>
    <w:p>
      <w:pPr>
        <w:pStyle w:val="StepBookmark"/>
      </w:pPr>
      <w:bookmarkStart w:name="step-2" w:id="1"/>
      <w:bookmarkEnd w:id="1"/>
    </w:p>
    <w:p>
      <w:pPr>
        <w:pStyle w:val="StepImage"/>
        <w:spacing w:before="120" w:after="160"/>
        <w:jc w:val="center"/>
      </w:pPr>
      <w:r>
        <w:drawing>
          <wp:inline distT="0" distB="0" distL="0" distR="0">
            <wp:extent cx="6191250" cy="338218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6191250" cy="3382182"/>
                    </a:xfrm>
                    <a:prstGeom prst="rect">
                      <a:avLst/>
                    </a:prstGeom>
                  </pic:spPr>
                </pic:pic>
              </a:graphicData>
            </a:graphic>
          </wp:inline>
        </w:drawing>
      </w:r>
    </w:p>
    <w:p>
      <w:pPr>
        <w:sectPr>
          <w:headerReference w:type="default" r:id="rId12"/>
          <w:footerReference w:type="default" r:id="rId13"/>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4. Turn the Vacation responder on</w:t>
            </w:r>
          </w:p>
        </w:tc>
      </w:tr>
    </w:tbl>
    <w:p>
      <w:r>
        <w:t xml:space="preserve"/>
      </w:r>
    </w:p>
    <w:tbl>
      <w:tblPr>
        <w:tblW w:type="pct" w:w="100%"/>
        <w:tblBorders>
          <w:top w:val="nil" w:sz="0"/>
          <w:left w:val="nil" w:sz="0"/>
          <w:bottom w:val="nil" w:sz="0"/>
          <w:right w:val="nil" w:sz="0"/>
          <w:insideH w:val="single" w:color="auto" w:sz="4"/>
          <w:insideV w:val="single" w:color="auto" w:sz="4"/>
        </w:tblBorders>
        <w:tblLayout w:type="fixed"/>
      </w:tblPr>
      <w:tblGrid>
        <w:gridCol w:w="9885"/>
      </w:tblGrid>
      <w:tr>
        <w:tc>
          <w:tcPr>
            <w:tcW w:type="pct" w:w="100%"/>
            <w:tcBorders>
              <w:top w:val="nil" w:sz="0"/>
              <w:left w:val="nil" w:sz="0"/>
              <w:bottom w:val="nil" w:sz="0"/>
              <w:right w:val="nil" w:sz="0"/>
            </w:tcBorders>
            <w:shd w:fill="f9fafb"/>
            <w:vAlign w:val="center"/>
          </w:tcPr>
          <w:p>
            <w:pPr>
              <w:pStyle w:val="TextBlockCell01dark"/>
            </w:pPr>
            <w:r>
              <w:t xml:space="preserve">It's easy to get lost in all the settings..</w:t>
            </w:r>
          </w:p>
        </w:tc>
      </w:tr>
      <w:tr>
        <w:tc>
          <w:tcPr>
            <w:tcW w:type="pct" w:w="100%"/>
            <w:tcBorders>
              <w:top w:val="nil" w:sz="0"/>
              <w:left w:val="nil" w:sz="0"/>
              <w:bottom w:val="nil" w:sz="0"/>
              <w:right w:val="nil" w:sz="0"/>
            </w:tcBorders>
            <w:shd w:fill="f9fafb"/>
            <w:vAlign w:val="center"/>
          </w:tcPr>
          <w:p>
            <w:pPr>
              <w:pStyle w:val="TextBlockCell11dark"/>
              <w:jc w:val="left"/>
            </w:pPr>
            <w:r>
              <w:t xml:space="preserve">The General tab is selected by default. Scroll all the way to the bottom — the Vacation responder section is the last one on this page. </w:t>
            </w:r>
          </w:p>
        </w:tc>
      </w:tr>
    </w:tbl>
    <w:p>
      <w:r>
        <w:t xml:space="preserve"/>
      </w:r>
    </w:p>
    <w:p>
      <w:pPr>
        <w:pStyle w:val="StepDescription"/>
        <w:jc w:val="left"/>
      </w:pPr>
      <w:r>
        <w:t xml:space="preserve">Select Vacation responder on (</w:t>
      </w:r>
      <w:r>
        <w:rPr>
          <w:i/>
          <w:iCs/>
          <w:u w:val="single"/>
        </w:rPr>
        <w:t xml:space="preserve">Out of Office AutoReply on</w:t>
      </w:r>
      <w:r>
        <w:t xml:space="preserve">). The fields below will activate so you can fill in the details. The </w:t>
      </w:r>
      <w:r>
        <w:rPr>
          <w:b/>
          <w:bCs/>
        </w:rPr>
        <w:t xml:space="preserve">First day</w:t>
      </w:r>
      <w:r>
        <w:t xml:space="preserve"> will fill in automatically. </w:t>
      </w:r>
      <w:r>
        <w:rPr>
          <w:b/>
          <w:bCs/>
          <w:color w:val="000000"/>
        </w:rPr>
        <w:t xml:space="preserve">Gmail will start sending auto-replies at midnight on this date.</w:t>
      </w:r>
    </w:p>
    <w:p>
      <w:pPr>
        <w:pStyle w:val="StepDescription"/>
        <w:jc w:val="left"/>
      </w:pPr>
      <w:r>
        <w:t xml:space="preserve"/>
      </w:r>
    </w:p>
    <w:p>
      <w:pPr>
        <w:pStyle w:val="StepBookmark"/>
      </w:pPr>
      <w:bookmarkStart w:name="step-3" w:id="1"/>
      <w:bookmarkEnd w:id="1"/>
    </w:p>
    <w:p>
      <w:pPr>
        <w:pStyle w:val="StepImage"/>
        <w:spacing w:before="120" w:after="160"/>
        <w:jc w:val="center"/>
      </w:pPr>
      <w:r>
        <w:drawing>
          <wp:inline distT="0" distB="0" distL="0" distR="0">
            <wp:extent cx="6191250" cy="3381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6191250" cy="3381450"/>
                    </a:xfrm>
                    <a:prstGeom prst="rect">
                      <a:avLst/>
                    </a:prstGeom>
                  </pic:spPr>
                </pic:pic>
              </a:graphicData>
            </a:graphic>
          </wp:inline>
        </w:drawing>
      </w:r>
    </w:p>
    <w:p>
      <w:pPr>
        <w:sectPr>
          <w:headerReference w:type="default" r:id="rId14"/>
          <w:footerReference w:type="default" r:id="rId15"/>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5. Set your last day (optional, but recommended)</w:t>
            </w:r>
          </w:p>
        </w:tc>
      </w:tr>
    </w:tbl>
    <w:p>
      <w:pPr>
        <w:pStyle w:val="StepDescription"/>
        <w:jc w:val="left"/>
      </w:pPr>
      <w:r>
        <w:t xml:space="preserve">Tick the </w:t>
      </w:r>
      <w:r>
        <w:rPr>
          <w:b/>
          <w:bCs/>
        </w:rPr>
        <w:t xml:space="preserve">Last day</w:t>
      </w:r>
      <w:r>
        <w:t xml:space="preserve"> checkbox and choose your return date. Gmail will turn the responder off automatically — no risk of leaving it on after you're back. You may as well leave the field empty, just don't forget to set the Vacation responder to </w:t>
      </w:r>
      <w:r>
        <w:rPr>
          <w:b/>
          <w:bCs/>
        </w:rPr>
        <w:t xml:space="preserve">off</w:t>
      </w:r>
      <w:r>
        <w:t xml:space="preserve"> upon your return.</w:t>
      </w:r>
    </w:p>
    <w:p>
      <w:pPr>
        <w:pStyle w:val="StepDescription"/>
        <w:jc w:val="left"/>
      </w:pPr>
      <w:r>
        <w:t xml:space="preserve"/>
      </w:r>
    </w:p>
    <w:p>
      <w:pPr>
        <w:pStyle w:val="StepBookmark"/>
      </w:pPr>
      <w:bookmarkStart w:name="step-4" w:id="1"/>
      <w:bookmarkEnd w:id="1"/>
    </w:p>
    <w:p>
      <w:pPr>
        <w:pStyle w:val="StepImage"/>
        <w:spacing w:before="120" w:after="160"/>
        <w:jc w:val="center"/>
      </w:pPr>
      <w:r>
        <w:drawing>
          <wp:inline distT="0" distB="0" distL="0" distR="0">
            <wp:extent cx="6191250" cy="338115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6191250" cy="3381158"/>
                    </a:xfrm>
                    <a:prstGeom prst="rect">
                      <a:avLst/>
                    </a:prstGeom>
                  </pic:spPr>
                </pic:pic>
              </a:graphicData>
            </a:graphic>
          </wp:inline>
        </w:drawing>
      </w:r>
    </w:p>
    <w:p>
      <w:pPr>
        <w:sectPr>
          <w:headerReference w:type="default" r:id="rId16"/>
          <w:footerReference w:type="default" r:id="rId17"/>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6. Write a clear subject line</w:t>
            </w:r>
          </w:p>
        </w:tc>
      </w:tr>
    </w:tbl>
    <w:p>
      <w:pPr>
        <w:pStyle w:val="StepDescription"/>
        <w:jc w:val="left"/>
      </w:pPr>
      <w:r>
        <w:t xml:space="preserve">Keep it short and direct — something like "</w:t>
      </w:r>
      <w:r>
        <w:rPr>
          <w:i/>
          <w:iCs/>
        </w:rPr>
        <w:t xml:space="preserve">Out of office — back [date]</w:t>
      </w:r>
      <w:r>
        <w:t xml:space="preserve">". Senders see this in their inbox immediately and know exactly what's going on. </w:t>
      </w:r>
    </w:p>
    <w:p>
      <w:pPr>
        <w:pStyle w:val="StepDescription"/>
        <w:jc w:val="left"/>
      </w:pPr>
      <w:r>
        <w:t xml:space="preserve"/>
      </w:r>
    </w:p>
    <w:p>
      <w:pPr>
        <w:pStyle w:val="StepBookmark"/>
      </w:pPr>
      <w:bookmarkStart w:name="step-5" w:id="1"/>
      <w:bookmarkEnd w:id="1"/>
    </w:p>
    <w:p>
      <w:pPr>
        <w:pStyle w:val="StepImage"/>
        <w:spacing w:before="120" w:after="160"/>
        <w:jc w:val="center"/>
      </w:pPr>
      <w:r>
        <w:drawing>
          <wp:inline distT="0" distB="0" distL="0" distR="0">
            <wp:extent cx="6191250" cy="338115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6191250" cy="3381158"/>
                    </a:xfrm>
                    <a:prstGeom prst="rect">
                      <a:avLst/>
                    </a:prstGeom>
                  </pic:spPr>
                </pic:pic>
              </a:graphicData>
            </a:graphic>
          </wp:inline>
        </w:drawing>
      </w:r>
    </w:p>
    <w:p>
      <w:pPr>
        <w:sectPr>
          <w:headerReference w:type="default" r:id="rId18"/>
          <w:footerReference w:type="default" r:id="rId19"/>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7. Write your auto-reply message</w:t>
            </w:r>
          </w:p>
        </w:tc>
      </w:tr>
    </w:tbl>
    <w:p>
      <w:pPr>
        <w:pStyle w:val="StepDescription"/>
        <w:jc w:val="left"/>
      </w:pPr>
      <w:r>
        <w:t xml:space="preserve">Let people know when you'll be back and who to contact in the meantime. Two or three sentences is plenty. You can use the toolbar to add formatting, links, or your signature.</w:t>
      </w:r>
    </w:p>
    <w:p>
      <w:pPr>
        <w:pStyle w:val="StepDescription"/>
        <w:jc w:val="left"/>
      </w:pPr>
      <w:r>
        <w:t xml:space="preserve"/>
      </w:r>
    </w:p>
    <w:p>
      <w:pPr>
        <w:pStyle w:val="StepBookmark"/>
      </w:pPr>
      <w:bookmarkStart w:name="step-6" w:id="1"/>
      <w:bookmarkEnd w:id="1"/>
    </w:p>
    <w:p>
      <w:pPr>
        <w:pStyle w:val="StepImage"/>
        <w:spacing w:before="120" w:after="160"/>
        <w:jc w:val="center"/>
      </w:pPr>
      <w:r>
        <w:drawing>
          <wp:inline distT="0" distB="0" distL="0" distR="0">
            <wp:extent cx="6191250" cy="338299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6191250" cy="3382998"/>
                    </a:xfrm>
                    <a:prstGeom prst="rect">
                      <a:avLst/>
                    </a:prstGeom>
                  </pic:spPr>
                </pic:pic>
              </a:graphicData>
            </a:graphic>
          </wp:inline>
        </w:drawing>
      </w:r>
    </w:p>
    <w:p>
      <w:pPr>
        <w:sectPr>
          <w:headerReference w:type="default" r:id="rId20"/>
          <w:footerReference w:type="default" r:id="rId21"/>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8. Optionally limit who receives the reply</w:t>
            </w:r>
          </w:p>
        </w:tc>
      </w:tr>
    </w:tbl>
    <w:p>
      <w:pPr>
        <w:pStyle w:val="StepDescription"/>
        <w:jc w:val="left"/>
      </w:pPr>
      <w:r>
        <w:t xml:space="preserve">Two checkboxes let you restrict the responder to people in your contacts, or to people inside your company. Use these to keep your auto-reply from going to mailing lists and newsletters.</w:t>
      </w:r>
    </w:p>
    <w:p>
      <w:pPr>
        <w:pStyle w:val="StepDescription"/>
        <w:jc w:val="left"/>
      </w:pPr>
      <w:r>
        <w:t xml:space="preserve"/>
      </w:r>
    </w:p>
    <w:p>
      <w:pPr>
        <w:pStyle w:val="StepBookmark"/>
      </w:pPr>
      <w:bookmarkStart w:name="step-7" w:id="1"/>
      <w:bookmarkEnd w:id="1"/>
    </w:p>
    <w:p>
      <w:pPr>
        <w:pStyle w:val="StepImage"/>
        <w:spacing w:before="120" w:after="160"/>
        <w:jc w:val="center"/>
      </w:pPr>
      <w:r>
        <w:drawing>
          <wp:inline distT="0" distB="0" distL="0" distR="0">
            <wp:extent cx="6191250" cy="337998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6191250" cy="3379983"/>
                    </a:xfrm>
                    <a:prstGeom prst="rect">
                      <a:avLst/>
                    </a:prstGeom>
                  </pic:spPr>
                </pic:pic>
              </a:graphicData>
            </a:graphic>
          </wp:inline>
        </w:drawing>
      </w:r>
    </w:p>
    <w:p>
      <w:pPr>
        <w:sectPr>
          <w:headerReference w:type="default" r:id="rId22"/>
          <w:footerReference w:type="default" r:id="rId23"/>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9. Save your changes</w:t>
            </w:r>
          </w:p>
        </w:tc>
      </w:tr>
    </w:tbl>
    <w:p>
      <w:pPr>
        <w:pStyle w:val="StepDescription"/>
        <w:jc w:val="left"/>
      </w:pPr>
      <w:r>
        <w:t xml:space="preserve">Scroll to the bottom of the settings page and click </w:t>
      </w:r>
      <w:r>
        <w:rPr>
          <w:b/>
          <w:bCs/>
        </w:rPr>
        <w:t xml:space="preserve">Save Changes</w:t>
      </w:r>
      <w:r>
        <w:t xml:space="preserve">. Your Vacation responder is now active and will start on your chosen first day.</w:t>
      </w:r>
    </w:p>
    <w:p>
      <w:pPr>
        <w:pStyle w:val="StepDescription"/>
        <w:jc w:val="left"/>
      </w:pPr>
      <w:r>
        <w:t xml:space="preserve"/>
      </w:r>
    </w:p>
    <w:p>
      <w:pPr>
        <w:pStyle w:val="StepBookmark"/>
      </w:pPr>
      <w:bookmarkStart w:name="step-8" w:id="1"/>
      <w:bookmarkEnd w:id="1"/>
    </w:p>
    <w:p>
      <w:pPr>
        <w:pStyle w:val="StepImage"/>
        <w:spacing w:before="120" w:after="160"/>
        <w:jc w:val="center"/>
      </w:pPr>
      <w:r>
        <w:drawing>
          <wp:inline distT="0" distB="0" distL="0" distR="0">
            <wp:extent cx="6191250" cy="338115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6191250" cy="3381158"/>
                    </a:xfrm>
                    <a:prstGeom prst="rect">
                      <a:avLst/>
                    </a:prstGeom>
                  </pic:spPr>
                </pic:pic>
              </a:graphicData>
            </a:graphic>
          </wp:inline>
        </w:drawing>
      </w:r>
    </w:p>
    <w:p>
      <w:pPr>
        <w:sectPr>
          <w:headerReference w:type="default" r:id="rId24"/>
          <w:footerReference w:type="default" r:id="rId25"/>
          <w:pgSz w:w="11905" w:h="16837" w:orient="portrait"/>
          <w:pgMar w:top="1440" w:right="1440" w:bottom="1440" w:left="1440" w:header="708" w:footer="708" w:gutter="0"/>
          <w:pgNumType/>
          <w:docGrid w:linePitch="360"/>
        </w:sectPr>
      </w:pPr>
    </w:p>
    <w:tbl>
      <w:tblPr>
        <w:tblW w:type="auto" w:w="100"/>
        <w:jc w:val="left"/>
        <w:tblBorders>
          <w:top w:val="nil" w:sz="0"/>
          <w:left w:val="nil" w:sz="0"/>
          <w:bottom w:val="nil" w:sz="0"/>
          <w:right w:val="nil" w:sz="0"/>
          <w:insideH w:val="single" w:color="auto" w:sz="4"/>
          <w:insideV w:val="single" w:color="auto" w:sz="4"/>
        </w:tblBorders>
        <w:tblLayout w:type="fixed"/>
      </w:tblPr>
      <w:tblGrid>
        <w:gridCol w:w="9885"/>
      </w:tblGrid>
      <w:tr>
        <w:tc>
          <w:tcPr>
            <w:tcBorders>
              <w:top w:val="nil" w:sz="0"/>
              <w:left w:val="single" w:color="4A6CF7" w:sz="28"/>
              <w:bottom w:val="nil" w:sz="0"/>
              <w:right w:val="nil" w:sz="0"/>
            </w:tcBorders>
            <w:shd w:fill="f6f6f9"/>
            <w:tcMar>
              <w:top w:type="dxa" w:w="60"/>
              <w:left w:type="dxa" w:w="200"/>
              <w:bottom w:type="dxa" w:w="60"/>
              <w:right w:type="dxa" w:w="120"/>
            </w:tcMar>
            <w:vAlign w:val="center"/>
          </w:tcPr>
          <w:p>
            <w:pPr>
              <w:pStyle w:val="Heading2"/>
              <w:pStyle w:val="Heading2"/>
            </w:pPr>
            <w:r>
              <w:t xml:space="preserve">10. You're all set </w:t>
            </w:r>
          </w:p>
        </w:tc>
      </w:tr>
    </w:tbl>
    <w:p>
      <w:pPr>
        <w:pStyle w:val="StepDescription"/>
        <w:jc w:val="left"/>
      </w:pPr>
      <w:r>
        <w:t xml:space="preserve">While the responder is active, Gmail shows a yellow banner at the top of your inbox with an End now button. Click it anytime to turn the auto-reply off before your end date.</w:t>
      </w:r>
    </w:p>
    <w:p>
      <w:pPr>
        <w:pStyle w:val="StepDescription"/>
        <w:jc w:val="left"/>
      </w:pPr>
      <w:r>
        <w:t xml:space="preserve"/>
      </w:r>
    </w:p>
    <w:p>
      <w:pPr>
        <w:pStyle w:val="StepBookmark"/>
      </w:pPr>
      <w:bookmarkStart w:name="step-9" w:id="1"/>
      <w:bookmarkEnd w:id="1"/>
    </w:p>
    <w:p>
      <w:pPr>
        <w:pStyle w:val="StepImage"/>
        <w:spacing w:before="120" w:after="160"/>
        <w:jc w:val="center"/>
      </w:pPr>
      <w:r>
        <w:drawing>
          <wp:inline distT="0" distB="0" distL="0" distR="0">
            <wp:extent cx="6191250" cy="3381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6191250" cy="3381450"/>
                    </a:xfrm>
                    <a:prstGeom prst="rect">
                      <a:avLst/>
                    </a:prstGeom>
                  </pic:spPr>
                </pic:pic>
              </a:graphicData>
            </a:graphic>
          </wp:inline>
        </w:drawing>
      </w:r>
    </w:p>
    <w:sectPr>
      <w:headerReference w:type="default" r:id="rId26"/>
      <w:footerReference w:type="default" r:id="rId27"/>
      <w:pgSz w:w="11905" w:h="16837"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auto" w:w="100"/>
      <w:tblBorders>
        <w:top w:val="nil" w:sz="0"/>
        <w:left w:val="nil" w:sz="0"/>
        <w:bottom w:val="nil" w:sz="0"/>
        <w:right w:val="nil" w:sz="0"/>
        <w:insideH w:val="single" w:color="auto" w:sz="4"/>
        <w:insideV w:val="single" w:color="auto" w:sz="4"/>
      </w:tblBorders>
      <w:tblLayout w:type="fixed"/>
    </w:tblPr>
    <w:tblGrid>
      <w:gridCol w:w="7924"/>
      <w:gridCol w:w="1981"/>
    </w:tblGrid>
    <w:tr>
      <w:tc>
        <w:tcPr>
          <w:tcBorders>
            <w:top w:val="single" w:color="D1D5DB" w:sz="8"/>
            <w:left w:val="nil" w:sz="0"/>
            <w:bottom w:val="nil" w:sz="0"/>
            <w:right w:val="nil" w:sz="0"/>
          </w:tcBorders>
          <w:tcMar>
            <w:top w:type="dxa" w:w="120"/>
          </w:tcMar>
          <w:vAlign w:val="center"/>
        </w:tcPr>
        <w:p>
          <w:pPr>
            <w:pStyle w:val="FooterGuideTitle"/>
            <w:jc w:val="left"/>
          </w:pPr>
          <w:r>
            <w:rPr>
              <w:rStyle w:val="FooterGuideTitle"/>
            </w:rPr>
            <w:t xml:space="preserve">Gmail automatic reply (out of office)</w:t>
          </w:r>
        </w:p>
      </w:tc>
      <w:tc>
        <w:tcPr>
          <w:tcBorders>
            <w:top w:val="single" w:color="D1D5DB" w:sz="8"/>
            <w:left w:val="nil" w:sz="0"/>
            <w:bottom w:val="nil" w:sz="0"/>
            <w:right w:val="nil" w:sz="0"/>
          </w:tcBorders>
          <w:tcMar>
            <w:top w:type="dxa" w:w="120"/>
          </w:tcMar>
          <w:vAlign w:val="center"/>
        </w:tcPr>
        <w:p>
          <w:pPr>
            <w:pStyle w:val="FooterGuideTitle"/>
            <w:jc w:val="right"/>
          </w:pPr>
          <w:r>
            <w:t xml:space="preserve">Page </w:t>
          </w:r>
          <w:r>
            <w:fldChar w:fldCharType="begin"/>
            <w:instrText xml:space="preserve">PAGE</w:instrText>
            <w:fldChar w:fldCharType="separate"/>
            <w:fldChar w:fldCharType="end"/>
          </w:r>
          <w:r>
            <w:t xml:space="preserve"/>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auto" w:w="100"/>
      <w:tblBorders>
        <w:top w:val="nil" w:sz="0"/>
        <w:left w:val="nil" w:sz="0"/>
        <w:bottom w:val="nil" w:sz="0"/>
        <w:right w:val="nil" w:sz="0"/>
        <w:insideH w:val="single" w:color="auto" w:sz="4"/>
        <w:insideV w:val="single" w:color="auto" w:sz="4"/>
      </w:tblBorders>
      <w:tblLayout w:type="fixed"/>
    </w:tblPr>
    <w:tblGrid>
      <w:gridCol w:w="9905"/>
    </w:tblGrid>
    <w:tr>
      <w:tc>
        <w:tcPr>
          <w:tcW w:type="dxa" w:w="9905"/>
          <w:tcBorders>
            <w:top w:val="nil" w:sz="0"/>
            <w:left w:val="nil" w:sz="0"/>
            <w:bottom w:val="single" w:color="D1D5DB" w:sz="8"/>
            <w:right w:val="nil" w:sz="0"/>
          </w:tcBorders>
          <w:tcMar>
            <w:bottom w:type="dxa" w:w="120"/>
          </w:tcMar>
          <w:vAlign w:val="center"/>
        </w:tcPr>
        <w:p>
          <w:pPr>
            <w:pStyle w:val="HeaderGuideTitle"/>
            <w:jc w:val="center"/>
          </w:pPr>
          <w:r>
            <w:rPr>
              <w:rStyle w:val="HeaderGuideTitle"/>
            </w:rPr>
            <w:t xml:space="preserve">Gmail automatic reply (out of office)</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extBlockCell01info">
    <w:name w:val="TextBlockCell01info"/>
    <w:basedOn w:val="Normal"/>
    <w:next w:val="Normal"/>
    <w:qFormat/>
    <w:pPr>
      <w:spacing w:after="240" w:before="240"/>
      <w:ind w:left="240"/>
    </w:pPr>
    <w:rPr>
      <w:rFonts w:ascii="Georgia" w:cs="Georgia" w:eastAsia="Georgia" w:hAnsi="Georgia"/>
      <w:b/>
      <w:bCs/>
      <w:color w:val="1e3a8a"/>
      <w:sz w:val="28"/>
      <w:szCs w:val="28"/>
    </w:rPr>
  </w:style>
  <w:style w:type="paragraph" w:styleId="TextBlockCell11info">
    <w:name w:val="TextBlockCell11info"/>
    <w:basedOn w:val="Normal"/>
    <w:next w:val="Normal"/>
    <w:qFormat/>
    <w:pPr>
      <w:spacing w:after="240" w:before="10"/>
      <w:ind w:left="240"/>
    </w:pPr>
    <w:rPr>
      <w:rFonts w:ascii="Arial" w:cs="Arial" w:eastAsia="Arial" w:hAnsi="Arial"/>
      <w:color w:val="1e3a8a"/>
      <w:sz w:val="24"/>
      <w:szCs w:val="24"/>
    </w:rPr>
  </w:style>
  <w:style w:type="paragraph" w:styleId="TextBlockCell01error">
    <w:name w:val="TextBlockCell01error"/>
    <w:basedOn w:val="Normal"/>
    <w:next w:val="Normal"/>
    <w:qFormat/>
    <w:pPr>
      <w:spacing w:after="240" w:before="240"/>
      <w:ind w:left="240"/>
    </w:pPr>
    <w:rPr>
      <w:rFonts w:ascii="Georgia" w:cs="Georgia" w:eastAsia="Georgia" w:hAnsi="Georgia"/>
      <w:b/>
      <w:bCs/>
      <w:color w:val="7f1d1d"/>
      <w:sz w:val="28"/>
      <w:szCs w:val="28"/>
    </w:rPr>
  </w:style>
  <w:style w:type="paragraph" w:styleId="TextBlockCell11error">
    <w:name w:val="TextBlockCell11error"/>
    <w:basedOn w:val="Normal"/>
    <w:next w:val="Normal"/>
    <w:qFormat/>
    <w:pPr>
      <w:spacing w:after="240" w:before="10"/>
      <w:ind w:left="240"/>
    </w:pPr>
    <w:rPr>
      <w:rFonts w:ascii="Arial" w:cs="Arial" w:eastAsia="Arial" w:hAnsi="Arial"/>
      <w:color w:val="7f1d1d"/>
      <w:sz w:val="24"/>
      <w:szCs w:val="24"/>
    </w:rPr>
  </w:style>
  <w:style w:type="paragraph" w:styleId="TextBlockCell01success">
    <w:name w:val="TextBlockCell01success"/>
    <w:basedOn w:val="Normal"/>
    <w:next w:val="Normal"/>
    <w:qFormat/>
    <w:pPr>
      <w:spacing w:after="240" w:before="240"/>
      <w:ind w:left="240"/>
    </w:pPr>
    <w:rPr>
      <w:rFonts w:ascii="Georgia" w:cs="Georgia" w:eastAsia="Georgia" w:hAnsi="Georgia"/>
      <w:b/>
      <w:bCs/>
      <w:color w:val="14532d"/>
      <w:sz w:val="28"/>
      <w:szCs w:val="28"/>
    </w:rPr>
  </w:style>
  <w:style w:type="paragraph" w:styleId="TextBlockCell11success">
    <w:name w:val="TextBlockCell11success"/>
    <w:basedOn w:val="Normal"/>
    <w:next w:val="Normal"/>
    <w:qFormat/>
    <w:pPr>
      <w:spacing w:after="240" w:before="10"/>
      <w:ind w:left="240"/>
    </w:pPr>
    <w:rPr>
      <w:rFonts w:ascii="Arial" w:cs="Arial" w:eastAsia="Arial" w:hAnsi="Arial"/>
      <w:color w:val="14532d"/>
      <w:sz w:val="24"/>
      <w:szCs w:val="24"/>
    </w:rPr>
  </w:style>
  <w:style w:type="paragraph" w:styleId="TextBlockCell01warning">
    <w:name w:val="TextBlockCell01warning"/>
    <w:basedOn w:val="Normal"/>
    <w:next w:val="Normal"/>
    <w:qFormat/>
    <w:pPr>
      <w:spacing w:after="240" w:before="240"/>
      <w:ind w:left="240"/>
    </w:pPr>
    <w:rPr>
      <w:rFonts w:ascii="Georgia" w:cs="Georgia" w:eastAsia="Georgia" w:hAnsi="Georgia"/>
      <w:b/>
      <w:bCs/>
      <w:color w:val="713f12"/>
      <w:sz w:val="28"/>
      <w:szCs w:val="28"/>
    </w:rPr>
  </w:style>
  <w:style w:type="paragraph" w:styleId="TextBlockCell11warning">
    <w:name w:val="TextBlockCell11warning"/>
    <w:basedOn w:val="Normal"/>
    <w:next w:val="Normal"/>
    <w:qFormat/>
    <w:pPr>
      <w:spacing w:after="240" w:before="10"/>
      <w:ind w:left="240"/>
    </w:pPr>
    <w:rPr>
      <w:rFonts w:ascii="Arial" w:cs="Arial" w:eastAsia="Arial" w:hAnsi="Arial"/>
      <w:color w:val="713f12"/>
      <w:sz w:val="24"/>
      <w:szCs w:val="24"/>
    </w:rPr>
  </w:style>
  <w:style w:type="paragraph" w:styleId="TextBlockCell01dark">
    <w:name w:val="TextBlockCell01dark"/>
    <w:basedOn w:val="Normal"/>
    <w:next w:val="Normal"/>
    <w:qFormat/>
    <w:pPr>
      <w:spacing w:after="240" w:before="240"/>
      <w:ind w:left="240"/>
    </w:pPr>
    <w:rPr>
      <w:rFonts w:ascii="Georgia" w:cs="Georgia" w:eastAsia="Georgia" w:hAnsi="Georgia"/>
      <w:b/>
      <w:bCs/>
      <w:color w:val="111827"/>
      <w:sz w:val="28"/>
      <w:szCs w:val="28"/>
    </w:rPr>
  </w:style>
  <w:style w:type="paragraph" w:styleId="TextBlockCell11dark">
    <w:name w:val="TextBlockCell11dark"/>
    <w:basedOn w:val="Normal"/>
    <w:next w:val="Normal"/>
    <w:qFormat/>
    <w:pPr>
      <w:spacing w:after="240" w:before="10"/>
      <w:ind w:left="240"/>
    </w:pPr>
    <w:rPr>
      <w:rFonts w:ascii="Arial" w:cs="Arial" w:eastAsia="Arial" w:hAnsi="Arial"/>
      <w:color w:val="111827"/>
      <w:sz w:val="24"/>
      <w:szCs w:val="24"/>
    </w:rPr>
  </w:style>
  <w:style w:type="paragraph" w:styleId="GuidePreTitleFrontPage">
    <w:name w:val="GuidePreTitleFrontPage"/>
    <w:basedOn w:val="Normal"/>
    <w:next w:val="Normal"/>
    <w:qFormat/>
    <w:rPr>
      <w:sz w:val="36"/>
      <w:szCs w:val="36"/>
    </w:rPr>
  </w:style>
  <w:style w:type="paragraph" w:styleId="Heading1">
    <w:name w:val="Heading1"/>
    <w:basedOn w:val="Normal"/>
    <w:next w:val="Normal"/>
    <w:qFormat/>
    <w:pPr>
      <w:spacing w:after="240"/>
    </w:pPr>
    <w:rPr>
      <w:rFonts w:ascii="Georgia" w:cs="Georgia" w:eastAsia="Georgia" w:hAnsi="Georgia"/>
      <w:b/>
      <w:bCs/>
      <w:i w:val="false"/>
      <w:iCs w:val="false"/>
      <w:color w:val="1b243b"/>
      <w:sz w:val="48"/>
      <w:szCs w:val="48"/>
    </w:rPr>
  </w:style>
  <w:style w:type="paragraph" w:styleId="GuideDescriptionFrontPage">
    <w:name w:val="GuideDescriptionFrontPage"/>
    <w:basedOn w:val="Normal"/>
    <w:next w:val="Normal"/>
    <w:qFormat/>
    <w:rPr>
      <w:rFonts w:ascii="Arial" w:cs="Arial" w:eastAsia="Arial" w:hAnsi="Arial"/>
      <w:color w:val="000000"/>
      <w:sz w:val="28"/>
      <w:szCs w:val="28"/>
    </w:rPr>
  </w:style>
  <w:style w:type="paragraph" w:styleId="GuideTOCTitle">
    <w:name w:val="GuideTOCTitle"/>
    <w:basedOn w:val="Normal"/>
    <w:next w:val="Normal"/>
    <w:qFormat/>
    <w:pPr>
      <w:spacing w:after="240"/>
    </w:pPr>
    <w:rPr>
      <w:rFonts w:ascii="Georgia" w:cs="Georgia" w:eastAsia="Georgia" w:hAnsi="Georgia"/>
      <w:b/>
      <w:bCs/>
      <w:i w:val="false"/>
      <w:iCs w:val="false"/>
      <w:color w:val="1b243b"/>
      <w:sz w:val="56"/>
      <w:szCs w:val="56"/>
    </w:rPr>
  </w:style>
  <w:style w:type="paragraph" w:styleId="GuideTOCItem">
    <w:name w:val="GuideTOCItem"/>
    <w:basedOn w:val="Normal"/>
    <w:next w:val="Normal"/>
    <w:qFormat/>
    <w:pPr>
      <w:spacing w:after="90" w:before="90"/>
    </w:pPr>
    <w:rPr>
      <w:rFonts w:ascii="Arial" w:cs="Arial" w:eastAsia="Arial" w:hAnsi="Arial"/>
      <w:b w:val="false"/>
      <w:bCs w:val="false"/>
      <w:i w:val="false"/>
      <w:iCs w:val="false"/>
      <w:color w:val="5755d9"/>
      <w:sz w:val="32"/>
      <w:szCs w:val="32"/>
    </w:rPr>
  </w:style>
  <w:style w:type="paragraph" w:styleId="HeaderGuideTitle">
    <w:name w:val="HeaderGuideTitle"/>
    <w:basedOn w:val="Normal"/>
    <w:next w:val="Normal"/>
    <w:qFormat/>
    <w:rPr>
      <w:rFonts w:ascii="Arial" w:cs="Arial" w:eastAsia="Arial" w:hAnsi="Arial"/>
      <w:b w:val="false"/>
      <w:bCs w:val="false"/>
      <w:i w:val="false"/>
      <w:iCs w:val="false"/>
      <w:color w:val="000000"/>
      <w:sz w:val="22"/>
      <w:szCs w:val="22"/>
    </w:rPr>
  </w:style>
  <w:style w:type="paragraph" w:styleId="FooterGuideTitle">
    <w:name w:val="FooterGuideTitle"/>
    <w:basedOn w:val="HeaderGuideTitle"/>
    <w:next w:val="Normal"/>
    <w:qFormat/>
    <w:rPr>
      <w:rFonts w:ascii="Arial" w:cs="Arial" w:eastAsia="Arial" w:hAnsi="Arial"/>
      <w:b w:val="false"/>
      <w:bCs w:val="false"/>
      <w:i w:val="false"/>
      <w:iCs w:val="false"/>
      <w:color w:val="000000"/>
      <w:sz w:val="22"/>
      <w:szCs w:val="22"/>
    </w:rPr>
  </w:style>
  <w:style w:type="paragraph" w:styleId="HeaderGuideTitleEmptyPlaceholder">
    <w:name w:val="HeaderGuideTitleEmptyPlaceholder"/>
    <w:basedOn w:val="Normal"/>
    <w:next w:val="Normal"/>
    <w:qFormat/>
    <w:rPr>
      <w:sz w:val="22"/>
      <w:szCs w:val="22"/>
    </w:rPr>
  </w:style>
  <w:style w:type="paragraph" w:styleId="HeaderImage">
    <w:name w:val="HeaderImage"/>
    <w:basedOn w:val="Normal"/>
    <w:next w:val="Normal"/>
    <w:qFormat/>
    <w:pPr>
      <w:spacing w:after="120"/>
    </w:pPr>
  </w:style>
  <w:style w:type="paragraph" w:styleId="FooterImage">
    <w:name w:val="FooterImage"/>
    <w:basedOn w:val="Normal"/>
    <w:next w:val="Normal"/>
    <w:qFormat/>
    <w:pPr>
      <w:spacing w:before="120"/>
    </w:pPr>
  </w:style>
  <w:style w:type="paragraph" w:styleId="Heading2">
    <w:name w:val="Heading2"/>
    <w:basedOn w:val="Normal"/>
    <w:next w:val="Normal"/>
    <w:qFormat/>
    <w:pPr>
      <w:spacing w:before="240" w:after="240"/>
      <w:ind w:left="240"/>
    </w:pPr>
    <w:rPr>
      <w:rFonts w:ascii="Georgia" w:cs="Georgia" w:eastAsia="Georgia" w:hAnsi="Georgia"/>
      <w:b/>
      <w:bCs/>
      <w:i w:val="false"/>
      <w:iCs w:val="false"/>
      <w:color w:val="1b243b"/>
      <w:sz w:val="28"/>
      <w:szCs w:val="28"/>
    </w:rPr>
  </w:style>
  <w:style w:type="paragraph" w:styleId="ContentBlockTitle">
    <w:name w:val="ContentBlockTitle"/>
    <w:basedOn w:val="Normal"/>
    <w:next w:val="Normal"/>
    <w:qFormat/>
    <w:pPr>
      <w:spacing w:before="240" w:after="240"/>
    </w:pPr>
    <w:rPr>
      <w:rFonts w:ascii="Georgia" w:cs="Georgia" w:eastAsia="Georgia" w:hAnsi="Georgia"/>
      <w:b/>
      <w:bCs/>
      <w:i w:val="false"/>
      <w:iCs w:val="false"/>
      <w:color w:val="1b243b"/>
      <w:sz w:val="28"/>
      <w:szCs w:val="28"/>
    </w:rPr>
  </w:style>
  <w:style w:type="paragraph" w:styleId="StepDescription">
    <w:name w:val="StepDescription"/>
    <w:basedOn w:val="Normal"/>
    <w:next w:val="Normal"/>
    <w:qFormat/>
    <w:pPr>
      <w:spacing w:after="180" w:before="180"/>
    </w:pPr>
    <w:rPr>
      <w:rFonts w:ascii="Arial" w:cs="Arial" w:eastAsia="Arial" w:hAnsi="Arial"/>
      <w:color w:val="000000"/>
      <w:sz w:val="24"/>
      <w:szCs w:val="24"/>
    </w:rPr>
  </w:style>
  <w:style w:type="paragraph" w:styleId="TableStepTitle">
    <w:name w:val="TableStepTitle"/>
    <w:basedOn w:val="Normal"/>
    <w:next w:val="Normal"/>
    <w:qFormat/>
    <w:pPr>
      <w:spacing w:before="120" w:after="120"/>
      <w:ind w:left="120"/>
    </w:pPr>
    <w:rPr>
      <w:rFonts w:ascii="Georgia" w:cs="Georgia" w:eastAsia="Georgia" w:hAnsi="Georgia"/>
      <w:b/>
      <w:bCs/>
      <w:i w:val="false"/>
      <w:iCs w:val="false"/>
      <w:color w:val="1b243b"/>
      <w:sz w:val="21"/>
      <w:szCs w:val="21"/>
    </w:rPr>
  </w:style>
  <w:style w:type="paragraph" w:styleId="TableContentBlockTitle">
    <w:name w:val="TableContentBlockTitle"/>
    <w:basedOn w:val="Normal"/>
    <w:next w:val="Normal"/>
    <w:qFormat/>
    <w:pPr>
      <w:spacing w:before="120" w:after="120"/>
    </w:pPr>
    <w:rPr>
      <w:rFonts w:ascii="Georgia" w:cs="Georgia" w:eastAsia="Georgia" w:hAnsi="Georgia"/>
      <w:b/>
      <w:bCs/>
      <w:i w:val="false"/>
      <w:iCs w:val="false"/>
      <w:color w:val="1b243b"/>
      <w:sz w:val="21"/>
      <w:szCs w:val="21"/>
    </w:rPr>
  </w:style>
  <w:style w:type="paragraph" w:styleId="TableStepDescription">
    <w:name w:val="TableStepDescription"/>
    <w:basedOn w:val="Normal"/>
    <w:next w:val="Normal"/>
    <w:qFormat/>
    <w:pPr>
      <w:spacing w:after="100" w:before="100"/>
    </w:pPr>
    <w:rPr>
      <w:rFonts w:ascii="Arial" w:cs="Arial" w:eastAsia="Arial" w:hAnsi="Arial"/>
      <w:color w:val="000000"/>
      <w:sz w:val="20"/>
      <w:szCs w:val="20"/>
    </w:rPr>
  </w:style>
  <w:style w:type="paragraph" w:styleId="SubstepTitle">
    <w:name w:val="SubstepTitle"/>
    <w:basedOn w:val="Normal"/>
    <w:next w:val="Normal"/>
    <w:qFormat/>
    <w:pPr>
      <w:spacing w:before="240" w:after="240"/>
      <w:ind w:left="240"/>
    </w:pPr>
    <w:rPr>
      <w:rFonts w:ascii="Georgia" w:cs="Georgia" w:eastAsia="Georgia" w:hAnsi="Georgia"/>
      <w:b/>
      <w:bCs/>
      <w:i w:val="false"/>
      <w:iCs w:val="false"/>
      <w:color w:val="2b2a35"/>
      <w:sz w:val="28"/>
      <w:szCs w:val="28"/>
    </w:rPr>
  </w:style>
  <w:style w:type="paragraph" w:styleId="SubstepDescription">
    <w:name w:val="SubstepDescription"/>
    <w:basedOn w:val="Normal"/>
    <w:next w:val="Normal"/>
    <w:qFormat/>
    <w:pPr>
      <w:spacing w:after="180" w:before="180"/>
    </w:pPr>
    <w:rPr>
      <w:rFonts w:ascii="Arial" w:cs="Arial" w:eastAsia="Arial" w:hAnsi="Arial"/>
      <w:color w:val="000000"/>
      <w:sz w:val="24"/>
      <w:szCs w:val="24"/>
    </w:rPr>
  </w:style>
  <w:style w:type="paragraph" w:styleId="StepImage">
    <w:name w:val="StepImage"/>
    <w:basedOn w:val="Normal"/>
    <w:next w:val="Normal"/>
    <w:qFormat/>
    <w:pPr>
      <w:spacing w:after="120" w:before="120"/>
    </w:pPr>
  </w:style>
  <w:style w:type="paragraph" w:styleId="StepBookmark">
    <w:name w:val="StepBookmark"/>
    <w:basedOn w:val="Normal"/>
    <w:next w:val="Normal"/>
    <w:qFormat/>
    <w:rPr>
      <w:sz w:val="1"/>
      <w:szCs w:val="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footer" Target="footer4.xml"/><Relationship Id="rId14" Type="http://schemas.openxmlformats.org/officeDocument/2006/relationships/header" Target="header5.xml"/><Relationship Id="rId15" Type="http://schemas.openxmlformats.org/officeDocument/2006/relationships/footer" Target="footer5.xml"/><Relationship Id="rId16" Type="http://schemas.openxmlformats.org/officeDocument/2006/relationships/header" Target="header6.xml"/><Relationship Id="rId17" Type="http://schemas.openxmlformats.org/officeDocument/2006/relationships/footer" Target="footer6.xml"/><Relationship Id="rId18" Type="http://schemas.openxmlformats.org/officeDocument/2006/relationships/header" Target="header7.xml"/><Relationship Id="rId19" Type="http://schemas.openxmlformats.org/officeDocument/2006/relationships/footer" Target="footer7.xml"/><Relationship Id="rId20" Type="http://schemas.openxmlformats.org/officeDocument/2006/relationships/header" Target="header8.xml"/><Relationship Id="rId21" Type="http://schemas.openxmlformats.org/officeDocument/2006/relationships/footer" Target="footer8.xml"/><Relationship Id="rId22" Type="http://schemas.openxmlformats.org/officeDocument/2006/relationships/header" Target="header9.xml"/><Relationship Id="rId23" Type="http://schemas.openxmlformats.org/officeDocument/2006/relationships/footer" Target="footer9.xml"/><Relationship Id="rId24" Type="http://schemas.openxmlformats.org/officeDocument/2006/relationships/header" Target="header10.xml"/><Relationship Id="rId25" Type="http://schemas.openxmlformats.org/officeDocument/2006/relationships/footer" Target="footer10.xml"/><Relationship Id="rId26" Type="http://schemas.openxmlformats.org/officeDocument/2006/relationships/header" Target="header11.xml"/><Relationship Id="rId27" Type="http://schemas.openxmlformats.org/officeDocument/2006/relationships/footer" Target="footer11.xml"/><Relationship Id="rId28" Type="http://schemas.openxmlformats.org/officeDocument/2006/relationships/image" Target="media/d35ad51a067dcd39340a2825b61210643fc1ebc5.png"/><Relationship Id="rId29" Type="http://schemas.openxmlformats.org/officeDocument/2006/relationships/image" Target="media/43d449291bd257966d1e188d103859b1cf07d07a.png"/><Relationship Id="rId30" Type="http://schemas.openxmlformats.org/officeDocument/2006/relationships/image" Target="media/aabb4e7b0b3a66383ff58158f120ff4200b48e3d.png"/><Relationship Id="rId31" Type="http://schemas.openxmlformats.org/officeDocument/2006/relationships/image" Target="media/ad322d91a1bfe5b5b16825f2787e60743776fb35.png"/><Relationship Id="rId32" Type="http://schemas.openxmlformats.org/officeDocument/2006/relationships/image" Target="media/82817d278e499cf7b875d2fd0f76b31647f570d4.png"/><Relationship Id="rId33" Type="http://schemas.openxmlformats.org/officeDocument/2006/relationships/image" Target="media/7cace555b837be002d89340e05a19e9442ca9380.png"/><Relationship Id="rId34" Type="http://schemas.openxmlformats.org/officeDocument/2006/relationships/image" Target="media/58494b4b3f8dbf9898d894af8d9de8b599a050f8.png"/><Relationship Id="rId35" Type="http://schemas.openxmlformats.org/officeDocument/2006/relationships/image" Target="media/67949493ba629afbc02b284695cc1d3e6419efb0.png"/><Relationship Id="rId36" Type="http://schemas.openxmlformats.org/officeDocument/2006/relationships/image" Target="media/3b067809fd5a2a6fb024e7e6abd5a8459a6b0af6.png"/><Relationship Id="rId37" Type="http://schemas.openxmlformats.org/officeDocument/2006/relationships/image" Target="media/1c2937c10fb3ccfd26d3b0639dec08c59ead49de.png"/><Relationship Id="rId3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10.xml.rels><?xml version="1.0" encoding="UTF-8"?><Relationships xmlns="http://schemas.openxmlformats.org/package/2006/relationships"/>
</file>

<file path=word/_rels/header1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word/_rels/header5.xml.rels><?xml version="1.0" encoding="UTF-8"?><Relationships xmlns="http://schemas.openxmlformats.org/package/2006/relationships"/>
</file>

<file path=word/_rels/header6.xml.rels><?xml version="1.0" encoding="UTF-8"?><Relationships xmlns="http://schemas.openxmlformats.org/package/2006/relationships"/>
</file>

<file path=word/_rels/header7.xml.rels><?xml version="1.0" encoding="UTF-8"?><Relationships xmlns="http://schemas.openxmlformats.org/package/2006/relationships"/>
</file>

<file path=word/_rels/header8.xml.rels><?xml version="1.0" encoding="UTF-8"?><Relationships xmlns="http://schemas.openxmlformats.org/package/2006/relationships"/>
</file>

<file path=word/_rels/header9.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2026-07-28T12:47:25.827Z</dcterms:created>
  <dcterms:modified xsi:type="dcterms:W3CDTF">2026-07-28T12:47:25.827Z</dcterms:modified>
</cp:coreProperties>
</file>

<file path=docProps/custom.xml><?xml version="1.0" encoding="utf-8"?>
<Properties xmlns="http://schemas.openxmlformats.org/officeDocument/2006/custom-properties" xmlns:vt="http://schemas.openxmlformats.org/officeDocument/2006/docPropsVTypes"/>
</file>